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5362"/>
        <w:gridCol w:w="2258"/>
      </w:tblGrid>
      <w:tr w:rsidR="00A23F48" w:rsidRPr="0073230A" w14:paraId="30920A1D" w14:textId="77777777" w:rsidTr="00C32035">
        <w:trPr>
          <w:trHeight w:val="2522"/>
        </w:trPr>
        <w:tc>
          <w:tcPr>
            <w:tcW w:w="2672" w:type="dxa"/>
            <w:shd w:val="clear" w:color="auto" w:fill="FFEFFF"/>
          </w:tcPr>
          <w:p w14:paraId="78D908C9" w14:textId="363D5039" w:rsidR="008E39B4" w:rsidRPr="0073230A" w:rsidRDefault="008E39B4" w:rsidP="00E276D3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73230A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What will we be learning?</w:t>
            </w:r>
          </w:p>
          <w:p w14:paraId="757809B9" w14:textId="65970FC6" w:rsidR="008E39B4" w:rsidRPr="0073230A" w:rsidRDefault="006A26CD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 xml:space="preserve">AQA A-Level </w:t>
            </w:r>
            <w:r w:rsidR="00024A68" w:rsidRPr="0073230A">
              <w:rPr>
                <w:rFonts w:cstheme="minorHAnsi"/>
                <w:color w:val="000000" w:themeColor="text1"/>
                <w:sz w:val="18"/>
                <w:szCs w:val="18"/>
              </w:rPr>
              <w:t>NEA – Non Examined Assessment</w:t>
            </w:r>
          </w:p>
        </w:tc>
        <w:tc>
          <w:tcPr>
            <w:tcW w:w="5362" w:type="dxa"/>
            <w:shd w:val="clear" w:color="auto" w:fill="FFEFFF"/>
          </w:tcPr>
          <w:p w14:paraId="4E18136F" w14:textId="77777777" w:rsidR="00970C48" w:rsidRPr="0073230A" w:rsidRDefault="008E39B4" w:rsidP="00E276D3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73230A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Why this? Why now?</w:t>
            </w:r>
          </w:p>
          <w:p w14:paraId="4C75361B" w14:textId="0D4792BB" w:rsidR="008E39B4" w:rsidRPr="0073230A" w:rsidRDefault="00024A68" w:rsidP="00E276D3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73230A">
              <w:rPr>
                <w:rFonts w:cstheme="minorHAnsi"/>
                <w:sz w:val="18"/>
                <w:szCs w:val="18"/>
              </w:rPr>
              <w:t xml:space="preserve">The NEA requires students to have an understanding of the level of detail and depth of subject matter required to achieve highly at A Level, as such it cannot be studied at the start of </w:t>
            </w:r>
            <w:proofErr w:type="spellStart"/>
            <w:r w:rsidRPr="0073230A">
              <w:rPr>
                <w:rFonts w:cstheme="minorHAnsi"/>
                <w:sz w:val="18"/>
                <w:szCs w:val="18"/>
              </w:rPr>
              <w:t>Yr</w:t>
            </w:r>
            <w:proofErr w:type="spellEnd"/>
            <w:r w:rsidRPr="0073230A">
              <w:rPr>
                <w:rFonts w:cstheme="minorHAnsi"/>
                <w:sz w:val="18"/>
                <w:szCs w:val="18"/>
              </w:rPr>
              <w:t xml:space="preserve"> 12 but in fact requires students to have undertaken wider reading and study previously. The module therefore is started at the end of </w:t>
            </w:r>
            <w:proofErr w:type="spellStart"/>
            <w:r w:rsidRPr="0073230A">
              <w:rPr>
                <w:rFonts w:cstheme="minorHAnsi"/>
                <w:sz w:val="18"/>
                <w:szCs w:val="18"/>
              </w:rPr>
              <w:t>Yr</w:t>
            </w:r>
            <w:proofErr w:type="spellEnd"/>
            <w:r w:rsidRPr="0073230A">
              <w:rPr>
                <w:rFonts w:cstheme="minorHAnsi"/>
                <w:sz w:val="18"/>
                <w:szCs w:val="18"/>
              </w:rPr>
              <w:t xml:space="preserve"> 12 and continued into </w:t>
            </w:r>
            <w:proofErr w:type="spellStart"/>
            <w:r w:rsidRPr="0073230A">
              <w:rPr>
                <w:rFonts w:cstheme="minorHAnsi"/>
                <w:sz w:val="18"/>
                <w:szCs w:val="18"/>
              </w:rPr>
              <w:t>Yr</w:t>
            </w:r>
            <w:proofErr w:type="spellEnd"/>
            <w:r w:rsidRPr="0073230A">
              <w:rPr>
                <w:rFonts w:cstheme="minorHAnsi"/>
                <w:sz w:val="18"/>
                <w:szCs w:val="18"/>
              </w:rPr>
              <w:t xml:space="preserve"> 13 when students can realistically collect data in favourable conditions and use the extended summer break to work independently on their assessment. The area of study is currently </w:t>
            </w:r>
            <w:r w:rsidR="0073230A" w:rsidRPr="0073230A">
              <w:rPr>
                <w:rFonts w:cstheme="minorHAnsi"/>
                <w:sz w:val="18"/>
                <w:szCs w:val="18"/>
              </w:rPr>
              <w:t>‘</w:t>
            </w:r>
            <w:r w:rsidRPr="0073230A">
              <w:rPr>
                <w:rFonts w:cstheme="minorHAnsi"/>
                <w:sz w:val="18"/>
                <w:szCs w:val="18"/>
              </w:rPr>
              <w:t>coasts</w:t>
            </w:r>
            <w:r w:rsidR="0073230A" w:rsidRPr="0073230A">
              <w:rPr>
                <w:rFonts w:cstheme="minorHAnsi"/>
                <w:sz w:val="18"/>
                <w:szCs w:val="18"/>
              </w:rPr>
              <w:t>’</w:t>
            </w:r>
            <w:r w:rsidRPr="0073230A">
              <w:rPr>
                <w:rFonts w:cstheme="minorHAnsi"/>
                <w:sz w:val="18"/>
                <w:szCs w:val="18"/>
              </w:rPr>
              <w:t xml:space="preserve"> and thus it is vital this module is studied previously. 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7376B834" w:rsidR="008E39B4" w:rsidRPr="0073230A" w:rsidRDefault="008E39B4" w:rsidP="00E276D3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73230A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Key Words</w:t>
            </w:r>
            <w:r w:rsidR="00811F13" w:rsidRPr="0073230A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:</w:t>
            </w:r>
          </w:p>
          <w:p w14:paraId="0C89C3DE" w14:textId="5AFD204B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Analyse</w:t>
            </w:r>
          </w:p>
          <w:p w14:paraId="3BCCC0FA" w14:textId="507424B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Conclusion</w:t>
            </w:r>
          </w:p>
          <w:p w14:paraId="558DE920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Context</w:t>
            </w:r>
          </w:p>
          <w:p w14:paraId="38CEAE5E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Evaluation</w:t>
            </w:r>
          </w:p>
          <w:p w14:paraId="74B3DDC8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Examine</w:t>
            </w:r>
          </w:p>
          <w:p w14:paraId="4153DFBE" w14:textId="24D3D685" w:rsidR="00C6670B" w:rsidRDefault="0073230A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</w:p>
          <w:p w14:paraId="4C80E3C3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Justification</w:t>
            </w:r>
          </w:p>
          <w:p w14:paraId="15106F8D" w14:textId="51658188" w:rsidR="0073230A" w:rsidRDefault="0073230A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Literature Review</w:t>
            </w:r>
          </w:p>
          <w:p w14:paraId="7F919B42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Methodology</w:t>
            </w:r>
          </w:p>
          <w:p w14:paraId="25F2BDFA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Random sampling</w:t>
            </w:r>
          </w:p>
          <w:p w14:paraId="15C2CEC2" w14:textId="761F5493" w:rsidR="0073230A" w:rsidRDefault="0073230A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Sampling technique</w:t>
            </w:r>
          </w:p>
          <w:p w14:paraId="3595CA48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Spearman’s Rank</w:t>
            </w:r>
          </w:p>
          <w:p w14:paraId="50FE58BC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Stratified sampling</w:t>
            </w:r>
          </w:p>
          <w:p w14:paraId="062C2680" w14:textId="708A56FC" w:rsidR="0073230A" w:rsidRDefault="0073230A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Systematic sampling</w:t>
            </w:r>
          </w:p>
          <w:p w14:paraId="6415033B" w14:textId="5D4B312E" w:rsidR="0073230A" w:rsidRDefault="0073230A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</w:p>
          <w:p w14:paraId="170F7050" w14:textId="77777777" w:rsidR="0073230A" w:rsidRDefault="0073230A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Variety</w:t>
            </w:r>
          </w:p>
          <w:p w14:paraId="28AA8F4C" w14:textId="77777777" w:rsidR="0073230A" w:rsidRDefault="0073230A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9147324" w14:textId="416CCE1E" w:rsidR="0073230A" w:rsidRPr="0073230A" w:rsidRDefault="0073230A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E39B4" w:rsidRPr="0073230A" w14:paraId="70713B32" w14:textId="77777777" w:rsidTr="00C32035">
        <w:trPr>
          <w:trHeight w:val="2680"/>
        </w:trPr>
        <w:tc>
          <w:tcPr>
            <w:tcW w:w="8034" w:type="dxa"/>
            <w:gridSpan w:val="2"/>
            <w:shd w:val="clear" w:color="auto" w:fill="FFEFFF"/>
          </w:tcPr>
          <w:p w14:paraId="6D9AD2CC" w14:textId="77777777" w:rsidR="008E39B4" w:rsidRPr="0073230A" w:rsidRDefault="008E39B4" w:rsidP="00E276D3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73230A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What will we learn?</w:t>
            </w:r>
          </w:p>
          <w:p w14:paraId="0D41ADB0" w14:textId="77777777" w:rsidR="00024A68" w:rsidRPr="0073230A" w:rsidRDefault="00024A68" w:rsidP="00970C4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An independent investigation which is based on either human or physical aspects of the course or a combination of the both.</w:t>
            </w:r>
          </w:p>
          <w:p w14:paraId="0AF376F8" w14:textId="77777777" w:rsidR="00024A68" w:rsidRPr="0073230A" w:rsidRDefault="00024A68" w:rsidP="000349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The investigation must include the following:</w:t>
            </w:r>
          </w:p>
          <w:p w14:paraId="375B9511" w14:textId="77777777" w:rsidR="0003490B" w:rsidRPr="0073230A" w:rsidRDefault="0003490B" w:rsidP="0003490B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An introduction which includes a fully referenced research question, a literature review and relevant theoretical contexts</w:t>
            </w:r>
          </w:p>
          <w:p w14:paraId="6B0B79A2" w14:textId="77777777" w:rsidR="0003490B" w:rsidRPr="0073230A" w:rsidRDefault="0003490B" w:rsidP="0003490B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A methodology which includes sampling techniques and justification of methods used</w:t>
            </w:r>
          </w:p>
          <w:p w14:paraId="4C3B7C2C" w14:textId="77777777" w:rsidR="0003490B" w:rsidRPr="0073230A" w:rsidRDefault="0003490B" w:rsidP="0003490B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Detailed and varied data representation to include GIS</w:t>
            </w:r>
          </w:p>
          <w:p w14:paraId="0F74290F" w14:textId="77777777" w:rsidR="0003490B" w:rsidRPr="0073230A" w:rsidRDefault="0003490B" w:rsidP="0003490B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A critical analysis of data collected which links back to theory and the literature review and uses a method of statistical analysis</w:t>
            </w:r>
          </w:p>
          <w:p w14:paraId="704CD9BE" w14:textId="6ECF566C" w:rsidR="0003490B" w:rsidRPr="0073230A" w:rsidRDefault="0003490B" w:rsidP="0003490B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An overall conclusion and evaluation of the investigation.</w:t>
            </w: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73230A" w:rsidRDefault="008E39B4" w:rsidP="00E276D3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8E39B4" w:rsidRPr="0073230A" w14:paraId="41DD1A54" w14:textId="77777777" w:rsidTr="00E276D3">
        <w:trPr>
          <w:trHeight w:val="4424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73230A" w:rsidRDefault="008E39B4" w:rsidP="00E276D3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73230A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What opportunities are there for wider study?</w:t>
            </w:r>
          </w:p>
          <w:p w14:paraId="676DBB69" w14:textId="43FAC0AC" w:rsidR="00970C48" w:rsidRPr="0073230A" w:rsidRDefault="0003490B" w:rsidP="00E276D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Post 18 education</w:t>
            </w:r>
            <w:r w:rsidR="00970C48" w:rsidRPr="0073230A">
              <w:rPr>
                <w:rFonts w:cstheme="minorHAnsi"/>
                <w:color w:val="000000" w:themeColor="text1"/>
                <w:sz w:val="18"/>
                <w:szCs w:val="18"/>
              </w:rPr>
              <w:t xml:space="preserve">: </w:t>
            </w:r>
          </w:p>
          <w:p w14:paraId="4FEAA0D6" w14:textId="77777777" w:rsidR="0073230A" w:rsidRPr="0073230A" w:rsidRDefault="0003490B" w:rsidP="00215E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University courses often require a dissertation which is individually completed, the NEA is excellent preparation for this.</w:t>
            </w:r>
          </w:p>
          <w:p w14:paraId="2482D154" w14:textId="37BFB0B3" w:rsidR="00970C48" w:rsidRPr="0073230A" w:rsidRDefault="0003490B" w:rsidP="0073230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Careers</w:t>
            </w:r>
            <w:r w:rsidR="00970C48" w:rsidRPr="0073230A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</w:p>
          <w:p w14:paraId="7479B973" w14:textId="5F5D8285" w:rsidR="00970C48" w:rsidRPr="0073230A" w:rsidRDefault="0003490B" w:rsidP="00D527C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Data analyst</w:t>
            </w:r>
          </w:p>
          <w:p w14:paraId="14CD34AB" w14:textId="441C7F91" w:rsidR="0003490B" w:rsidRPr="0073230A" w:rsidRDefault="0003490B" w:rsidP="00D527C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Computer Modeler</w:t>
            </w:r>
          </w:p>
          <w:p w14:paraId="10220BB2" w14:textId="1210F173" w:rsidR="0003490B" w:rsidRPr="0073230A" w:rsidRDefault="0003490B" w:rsidP="00D527C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Environment agency</w:t>
            </w:r>
          </w:p>
          <w:p w14:paraId="3280341D" w14:textId="77777777" w:rsidR="00970C48" w:rsidRPr="0073230A" w:rsidRDefault="00970C48" w:rsidP="00970C4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Wider Reading:</w:t>
            </w:r>
          </w:p>
          <w:p w14:paraId="05965E73" w14:textId="56E36632" w:rsidR="00D527C3" w:rsidRPr="0073230A" w:rsidRDefault="00D527C3" w:rsidP="00D527C3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Geography Review – Available in the library</w:t>
            </w:r>
            <w:r w:rsidR="0003490B" w:rsidRPr="0073230A">
              <w:rPr>
                <w:rFonts w:cstheme="minorHAnsi"/>
                <w:color w:val="000000" w:themeColor="text1"/>
                <w:sz w:val="18"/>
                <w:szCs w:val="18"/>
              </w:rPr>
              <w:t xml:space="preserve"> – often includes tips and hints on how to get the highest marks in your NEA</w:t>
            </w:r>
          </w:p>
          <w:p w14:paraId="001E2D6F" w14:textId="6ADBB320" w:rsidR="004D697E" w:rsidRPr="0073230A" w:rsidRDefault="0003490B" w:rsidP="00D527C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Examples of NEA’s (including a 60/60 marked piece) on the AQA website</w:t>
            </w: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73230A" w:rsidRDefault="008E39B4" w:rsidP="00E276D3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8E39B4" w:rsidRPr="0073230A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77777777" w:rsidR="008E39B4" w:rsidRPr="0073230A" w:rsidRDefault="008E39B4" w:rsidP="00E276D3">
            <w:pPr>
              <w:rPr>
                <w:rFonts w:cstheme="minorHAnsi"/>
                <w:b/>
                <w:bCs/>
                <w:color w:val="461E64"/>
                <w:sz w:val="18"/>
                <w:szCs w:val="18"/>
                <w:u w:val="single"/>
              </w:rPr>
            </w:pPr>
            <w:r w:rsidRPr="0073230A">
              <w:rPr>
                <w:rFonts w:cstheme="minorHAnsi"/>
                <w:b/>
                <w:bCs/>
                <w:color w:val="461E64"/>
                <w:sz w:val="18"/>
                <w:szCs w:val="18"/>
                <w:u w:val="single"/>
              </w:rPr>
              <w:t>How will I be assessed?</w:t>
            </w:r>
          </w:p>
          <w:p w14:paraId="6F728C1C" w14:textId="19C9FE1F" w:rsidR="0003490B" w:rsidRPr="0073230A" w:rsidRDefault="00970C48" w:rsidP="0003490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Students will</w:t>
            </w:r>
            <w:r w:rsidR="0003490B" w:rsidRPr="0073230A">
              <w:rPr>
                <w:rFonts w:cstheme="minorHAnsi"/>
                <w:color w:val="000000" w:themeColor="text1"/>
                <w:sz w:val="18"/>
                <w:szCs w:val="18"/>
              </w:rPr>
              <w:t xml:space="preserve"> complete the individual NEA and marks are awarded under the following headings:</w:t>
            </w:r>
          </w:p>
          <w:p w14:paraId="5D6ACE45" w14:textId="4193E659" w:rsidR="00C32035" w:rsidRPr="0073230A" w:rsidRDefault="0003490B" w:rsidP="00C3203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Area 1 – Introduction and preliminary research – 10 marks (AO3 strand 1 – investigate geographical questions and issues)</w:t>
            </w:r>
          </w:p>
          <w:p w14:paraId="61F8CEA7" w14:textId="1365E7FC" w:rsidR="0003490B" w:rsidRPr="0073230A" w:rsidRDefault="0003490B" w:rsidP="00C3203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Area 2 – Methods of field investigation – 15marks (AO3 strand 2 – interpret, analyse and evaluate data and evidence)</w:t>
            </w:r>
          </w:p>
          <w:p w14:paraId="69EEC7E7" w14:textId="1A85985F" w:rsidR="0073230A" w:rsidRPr="0073230A" w:rsidRDefault="0003490B" w:rsidP="0073230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>Area 3 – Methods of critical analysis – 20 marks (AO2</w:t>
            </w:r>
            <w:r w:rsidR="0073230A" w:rsidRPr="0073230A">
              <w:rPr>
                <w:rFonts w:cstheme="minorHAnsi"/>
                <w:color w:val="000000" w:themeColor="text1"/>
                <w:sz w:val="18"/>
                <w:szCs w:val="18"/>
              </w:rPr>
              <w:t xml:space="preserve"> 6 marks - </w:t>
            </w:r>
            <w:r w:rsidR="0073230A" w:rsidRPr="0073230A">
              <w:rPr>
                <w:rFonts w:cstheme="minorHAnsi"/>
                <w:sz w:val="18"/>
                <w:szCs w:val="18"/>
              </w:rPr>
              <w:t xml:space="preserve">Apply knowledge and understanding in different contexts to interpret, analyse and evaluate geographical information and issues, AO3 strand 2 14 marks - </w:t>
            </w:r>
            <w:r w:rsidR="0073230A" w:rsidRPr="0073230A">
              <w:rPr>
                <w:rFonts w:cstheme="minorHAnsi"/>
                <w:color w:val="000000" w:themeColor="text1"/>
                <w:sz w:val="18"/>
                <w:szCs w:val="18"/>
              </w:rPr>
              <w:t>interpret, analyse and evaluate data and evidence)</w:t>
            </w:r>
          </w:p>
          <w:p w14:paraId="7C953E82" w14:textId="50E366A7" w:rsidR="00C32035" w:rsidRPr="00596B87" w:rsidRDefault="0073230A" w:rsidP="00970C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230A">
              <w:rPr>
                <w:rFonts w:cstheme="minorHAnsi"/>
                <w:color w:val="000000" w:themeColor="text1"/>
                <w:sz w:val="18"/>
                <w:szCs w:val="18"/>
              </w:rPr>
              <w:t xml:space="preserve">Area 4 – Conclusions, evaluations and presentations 15 marks (AO3 strand 2 5 marks interpret, analyse and evaluate data and evidence, AO3 strand 3 10 marks - </w:t>
            </w:r>
            <w:r w:rsidRPr="0073230A">
              <w:rPr>
                <w:rFonts w:cstheme="minorHAnsi"/>
                <w:sz w:val="18"/>
                <w:szCs w:val="18"/>
              </w:rPr>
              <w:t>construct arguments and draw conclusions)</w:t>
            </w: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73230A" w:rsidRDefault="008E39B4" w:rsidP="00E276D3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42B3A29B" w14:textId="49864984" w:rsidR="0053445E" w:rsidRPr="0073230A" w:rsidRDefault="00596B87" w:rsidP="008E39B4">
      <w:pPr>
        <w:rPr>
          <w:rFonts w:cstheme="minorHAnsi"/>
          <w:sz w:val="18"/>
          <w:szCs w:val="18"/>
        </w:rPr>
      </w:pPr>
    </w:p>
    <w:sectPr w:rsidR="0053445E" w:rsidRPr="0073230A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25030" w14:textId="77777777" w:rsidR="009B3B66" w:rsidRDefault="009B3B66" w:rsidP="00017B74">
      <w:pPr>
        <w:spacing w:after="0" w:line="240" w:lineRule="auto"/>
      </w:pPr>
      <w:r>
        <w:separator/>
      </w:r>
    </w:p>
  </w:endnote>
  <w:endnote w:type="continuationSeparator" w:id="0">
    <w:p w14:paraId="7B5835DD" w14:textId="77777777" w:rsidR="009B3B66" w:rsidRDefault="009B3B6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2F444" w14:textId="77777777" w:rsidR="009B3B66" w:rsidRDefault="009B3B66" w:rsidP="00017B74">
      <w:pPr>
        <w:spacing w:after="0" w:line="240" w:lineRule="auto"/>
      </w:pPr>
      <w:r>
        <w:separator/>
      </w:r>
    </w:p>
  </w:footnote>
  <w:footnote w:type="continuationSeparator" w:id="0">
    <w:p w14:paraId="0748A0F9" w14:textId="77777777" w:rsidR="009B3B66" w:rsidRDefault="009B3B6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BE7607"/>
    <w:multiLevelType w:val="hybridMultilevel"/>
    <w:tmpl w:val="9C74B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50F5D"/>
    <w:multiLevelType w:val="hybridMultilevel"/>
    <w:tmpl w:val="3550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3306A6"/>
    <w:multiLevelType w:val="hybridMultilevel"/>
    <w:tmpl w:val="93384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9944F5"/>
    <w:multiLevelType w:val="hybridMultilevel"/>
    <w:tmpl w:val="41083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7A04F4"/>
    <w:multiLevelType w:val="hybridMultilevel"/>
    <w:tmpl w:val="768A2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674D"/>
    <w:multiLevelType w:val="hybridMultilevel"/>
    <w:tmpl w:val="B2481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DE69F2"/>
    <w:multiLevelType w:val="hybridMultilevel"/>
    <w:tmpl w:val="56AA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186D15"/>
    <w:multiLevelType w:val="hybridMultilevel"/>
    <w:tmpl w:val="1C30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3560F4"/>
    <w:multiLevelType w:val="hybridMultilevel"/>
    <w:tmpl w:val="73B4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4AB9"/>
    <w:rsid w:val="00017B74"/>
    <w:rsid w:val="00024A68"/>
    <w:rsid w:val="0003490B"/>
    <w:rsid w:val="0007415F"/>
    <w:rsid w:val="002B0167"/>
    <w:rsid w:val="003479F5"/>
    <w:rsid w:val="003E3AD0"/>
    <w:rsid w:val="003E6B6F"/>
    <w:rsid w:val="00440E6C"/>
    <w:rsid w:val="00487E07"/>
    <w:rsid w:val="004D697E"/>
    <w:rsid w:val="00596B87"/>
    <w:rsid w:val="005F4E99"/>
    <w:rsid w:val="006A26CD"/>
    <w:rsid w:val="007146EF"/>
    <w:rsid w:val="0073230A"/>
    <w:rsid w:val="007D54F2"/>
    <w:rsid w:val="00811F13"/>
    <w:rsid w:val="0083335D"/>
    <w:rsid w:val="00847F4E"/>
    <w:rsid w:val="00867D25"/>
    <w:rsid w:val="008B1952"/>
    <w:rsid w:val="008E39B4"/>
    <w:rsid w:val="00970C48"/>
    <w:rsid w:val="009B3B66"/>
    <w:rsid w:val="00A23F48"/>
    <w:rsid w:val="00A314F1"/>
    <w:rsid w:val="00BA646E"/>
    <w:rsid w:val="00C32035"/>
    <w:rsid w:val="00C6670B"/>
    <w:rsid w:val="00CA59AB"/>
    <w:rsid w:val="00D25187"/>
    <w:rsid w:val="00D527C3"/>
    <w:rsid w:val="00DB0006"/>
    <w:rsid w:val="00DC23A5"/>
    <w:rsid w:val="00E2259C"/>
    <w:rsid w:val="00E23689"/>
    <w:rsid w:val="00E276D3"/>
    <w:rsid w:val="00E5371A"/>
    <w:rsid w:val="00EF3258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DHoughton</cp:lastModifiedBy>
  <cp:revision>3</cp:revision>
  <dcterms:created xsi:type="dcterms:W3CDTF">2022-06-06T13:09:00Z</dcterms:created>
  <dcterms:modified xsi:type="dcterms:W3CDTF">2022-06-27T08:36:00Z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